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widowControl/>
        <w:shd w:val="clear" w:color="auto" w:fill="FFFFFF"/>
        <w:spacing w:before="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1"/>
          <w:szCs w:val="31"/>
        </w:rPr>
        <w:t>ПОСТАНОВЛЕНИЕ от 27 апреля 2023 г. № 463</w:t>
      </w:r>
    </w:p>
    <w:p>
      <w:pPr>
        <w:pStyle w:val="news-date-time"/>
        <w:widowControl/>
        <w:shd w:val="clear" w:color="auto" w:fill="FFFFFF"/>
        <w:spacing w:after="105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28.04.2023</w:t>
      </w:r>
    </w:p>
    <w:p>
      <w:pPr>
        <w:widowControl/>
        <w:shd w:val="clear" w:color="auto" w:fill="FFFFFF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27 апреля 2023 г. № 463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города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01.04.2003 № 669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сохранения, развития, благоустройства и реконструкции существующих и создания новых зеленых зон общего пользования на территории городского округа город Воронеж, в соответствии с протоколом заседания координационного совета по проблемам сохранения и развития зеленого фонда городского округа город Воронеж от 21.02.2023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города Воронежа от 01.04.2003 № 669 «О сохранении, развитии и благоустройстве зеленых зон общего пользования г. Воронежа»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перечень и классификацию зеленых зон общего пользования на территории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</w:p>
    <w:p>
      <w:pPr>
        <w:widowControl/>
        <w:shd w:val="clear" w:color="auto" w:fill="FFFFFF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